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28EB" w14:textId="77777777" w:rsidR="00C10B71" w:rsidRPr="00F02649" w:rsidRDefault="00C10B71" w:rsidP="00323F4C">
      <w:pPr>
        <w:pStyle w:val="BodyText"/>
        <w:keepNext/>
        <w:widowControl/>
        <w:ind w:left="3752"/>
        <w:rPr>
          <w:rFonts w:asciiTheme="minorBidi" w:hAnsiTheme="minorBidi" w:cstheme="minorBidi"/>
          <w:sz w:val="20"/>
        </w:rPr>
      </w:pPr>
    </w:p>
    <w:p w14:paraId="1AFB69B5" w14:textId="77777777" w:rsidR="00C10B71" w:rsidRPr="00F02649" w:rsidRDefault="00CE6B2E" w:rsidP="00323F4C">
      <w:pPr>
        <w:keepNext/>
        <w:widowControl/>
        <w:spacing w:after="240"/>
        <w:ind w:left="-900" w:right="-532"/>
        <w:jc w:val="center"/>
        <w:textDirection w:val="btLr"/>
        <w:rPr>
          <w:rFonts w:asciiTheme="minorBidi" w:hAnsiTheme="minorBidi" w:cstheme="minorBidi"/>
          <w:sz w:val="10"/>
        </w:rPr>
      </w:pPr>
      <w:r w:rsidRPr="00CE6B2E">
        <w:rPr>
          <w:rFonts w:asciiTheme="minorBidi" w:hAnsiTheme="minorBidi" w:cstheme="minorBidi"/>
          <w:b/>
          <w:color w:val="002060"/>
          <w:sz w:val="32"/>
        </w:rPr>
        <w:t>Executive Summary-</w:t>
      </w:r>
      <w:proofErr w:type="spellStart"/>
      <w:r w:rsidRPr="00CE6B2E">
        <w:rPr>
          <w:rFonts w:asciiTheme="minorBidi" w:hAnsiTheme="minorBidi" w:cstheme="minorBidi"/>
          <w:b/>
          <w:color w:val="002060"/>
          <w:sz w:val="32"/>
        </w:rPr>
        <w:t>ni</w:t>
      </w:r>
      <w:proofErr w:type="spellEnd"/>
      <w:r w:rsidRPr="00CE6B2E">
        <w:rPr>
          <w:rFonts w:asciiTheme="minorBidi" w:hAnsiTheme="minorBidi" w:cstheme="minorBidi"/>
          <w:b/>
          <w:color w:val="002060"/>
          <w:sz w:val="32"/>
        </w:rPr>
        <w:t xml:space="preserve"> Saransh</w:t>
      </w:r>
    </w:p>
    <w:p w14:paraId="3A131048" w14:textId="77777777" w:rsidR="00C10B71" w:rsidRPr="00F02649" w:rsidRDefault="00C10B71" w:rsidP="00323F4C">
      <w:pPr>
        <w:keepNext/>
        <w:widowControl/>
        <w:ind w:left="-900" w:right="-532"/>
        <w:jc w:val="center"/>
        <w:rPr>
          <w:rFonts w:asciiTheme="minorBidi" w:hAnsiTheme="minorBidi" w:cstheme="minorBidi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/>
          <w:sz w:val="32"/>
        </w:rPr>
        <w:t>RESETTLEMENT ACTION PLAN</w:t>
      </w:r>
    </w:p>
    <w:p w14:paraId="08647798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</w:p>
    <w:p w14:paraId="114CC91B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 w:themeColor="text1"/>
          <w:sz w:val="28"/>
          <w:szCs w:val="28"/>
        </w:rPr>
        <w:t>For</w:t>
      </w:r>
    </w:p>
    <w:p w14:paraId="49CBBDD7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</w:p>
    <w:p w14:paraId="283EC151" w14:textId="77777777" w:rsidR="00C10B71" w:rsidRPr="00F02649" w:rsidRDefault="004E0221" w:rsidP="004E0221">
      <w:pPr>
        <w:keepNext/>
        <w:widowControl/>
        <w:ind w:left="-851" w:right="-323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  <w:r w:rsidRPr="004E0221">
        <w:rPr>
          <w:rFonts w:ascii="Arial" w:hAnsi="Arial" w:cs="Arial"/>
          <w:b/>
          <w:bCs/>
          <w:color w:val="00B050"/>
          <w:sz w:val="28"/>
          <w:szCs w:val="28"/>
        </w:rPr>
        <w:t>“Meghalaya Logistics and Connectivity Improvement Project (MLCIP) rang World Bank-na dakgipa kamchi ong·e Songsak–Mendipathar Road (SMR) rang dakgipa bilsi aro a·songni CD Works aro bridge-rangko neng·tokata dakgipa kamko dakgipa ong·a.”</w:t>
      </w:r>
    </w:p>
    <w:p w14:paraId="0A8AFC99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</w:pPr>
    </w:p>
    <w:p w14:paraId="11092797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</w:pPr>
    </w:p>
    <w:p w14:paraId="27409390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  <w:r w:rsidRPr="00F02649"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  <w:t xml:space="preserve">Submitted </w:t>
      </w:r>
      <w:r w:rsidRPr="00F02649"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  <w:t>To</w:t>
      </w:r>
    </w:p>
    <w:p w14:paraId="7369CEA1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3D28F617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6775B714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  <w:r w:rsidRPr="00F02649">
        <w:rPr>
          <w:rFonts w:asciiTheme="minorBidi" w:hAnsiTheme="minorBidi" w:cstheme="minorBidi"/>
          <w:b/>
          <w:noProof/>
          <w:color w:val="000000" w:themeColor="text1"/>
          <w:sz w:val="24"/>
          <w:szCs w:val="28"/>
          <w:lang w:val="en-IN" w:eastAsia="en-IN"/>
        </w:rPr>
        <w:drawing>
          <wp:inline distT="0" distB="0" distL="0" distR="0" wp14:anchorId="21E86FE5" wp14:editId="6D1959C3">
            <wp:extent cx="2054744" cy="1109448"/>
            <wp:effectExtent l="0" t="0" r="317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69" cy="11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D7B98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7C7B3D53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1EEC8174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 xml:space="preserve">Meghalaya Infrastructure Development Finance Corporation (MIDFC) Ltd. </w:t>
      </w:r>
    </w:p>
    <w:p w14:paraId="722F12FC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House No. L/A-56, Lower Nongrim Hills, Top Floor,</w:t>
      </w:r>
    </w:p>
    <w:p w14:paraId="12F83134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Meghalaya Basin Development Authority (MBDA) Building,</w:t>
      </w:r>
    </w:p>
    <w:p w14:paraId="568461D8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hAnsi="Arial" w:cs="Arial"/>
          <w:b/>
          <w:color w:val="C00000"/>
          <w:sz w:val="24"/>
          <w:szCs w:val="28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Shillong East Khasi Hills, Meghalaya-793003</w:t>
      </w:r>
    </w:p>
    <w:p w14:paraId="2FAA8006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C00000"/>
          <w:sz w:val="24"/>
          <w:szCs w:val="28"/>
        </w:rPr>
      </w:pPr>
    </w:p>
    <w:p w14:paraId="4E6F9C1B" w14:textId="0B9ECD4D" w:rsidR="00C10B71" w:rsidRPr="00F02649" w:rsidRDefault="00C10B71" w:rsidP="00323F4C">
      <w:pPr>
        <w:keepNext/>
        <w:widowControl/>
        <w:spacing w:after="280"/>
        <w:ind w:left="-709" w:right="-323"/>
        <w:jc w:val="center"/>
        <w:rPr>
          <w:rFonts w:asciiTheme="minorBidi" w:hAnsiTheme="minorBidi" w:cstheme="minorBidi"/>
          <w:sz w:val="24"/>
          <w:szCs w:val="24"/>
        </w:rPr>
        <w:sectPr w:rsidR="00C10B71" w:rsidRPr="00F02649" w:rsidSect="00C10B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08" w:bottom="1440" w:left="1440" w:header="706" w:footer="706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  <w:r w:rsidRPr="00F02649">
        <w:rPr>
          <w:rFonts w:asciiTheme="minorBidi" w:hAnsiTheme="minorBidi" w:cstheme="minorBidi"/>
          <w:b/>
          <w:bCs/>
          <w:color w:val="0070C0"/>
          <w:szCs w:val="28"/>
        </w:rPr>
        <w:tab/>
      </w:r>
      <w:r w:rsidRPr="00F02649">
        <w:rPr>
          <w:rFonts w:asciiTheme="minorBidi" w:hAnsiTheme="minorBidi" w:cstheme="minorBidi"/>
        </w:rPr>
        <w:tab/>
      </w:r>
    </w:p>
    <w:p w14:paraId="2AC48702" w14:textId="77777777" w:rsidR="006D06EB" w:rsidRPr="006D06EB" w:rsidRDefault="00CE6B2E" w:rsidP="00CE6B2E">
      <w:pPr>
        <w:keepNext/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</w:rPr>
      </w:pPr>
      <w:r w:rsidRPr="00CE6B2E">
        <w:rPr>
          <w:rFonts w:ascii="Arial" w:hAnsi="Arial" w:cs="Arial"/>
          <w:b/>
          <w:color w:val="002060"/>
        </w:rPr>
        <w:lastRenderedPageBreak/>
        <w:t>Executive Summary-ni Saransh</w:t>
      </w:r>
    </w:p>
    <w:p w14:paraId="507C3157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1. </w:t>
      </w:r>
      <w:r w:rsidR="00CE6B2E" w:rsidRPr="00CE6B2E">
        <w:rPr>
          <w:rFonts w:ascii="Arial" w:eastAsia="Times New Roman" w:hAnsi="Arial" w:cs="Arial"/>
          <w:b/>
          <w:bCs/>
        </w:rPr>
        <w:t>Project-ni Background Talatani</w:t>
      </w:r>
    </w:p>
    <w:p w14:paraId="477DB9BC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“World Bank aro Meghalaya Government-ni dakgipa Meghalaya Logistics and Connectivity Improvement Project (MLCIP) ong·a East aro West Meghalaya-o climate-resilient dakgipa road connectivity aro logistics infrastructure-ko silrata ong·atna nangnika. Ia project-ni under-o dakgipa sub-project ong·a Songsak–Mendipathar Road (SMR), Corridor-6, jeni lambak bilsi 36 km ong·a, aro East aro North Garo Hills District-rangko re·atgipa ong·a. Ia road ong·a grong-grongni man·dimang, bazar, hospital, industry area aro administrative center-rang baksa jring-jrotgipa regional connector ong·a.”</w:t>
      </w:r>
    </w:p>
    <w:p w14:paraId="3D4B470D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2. </w:t>
      </w:r>
      <w:r w:rsidR="00CE6B2E" w:rsidRPr="00CE6B2E">
        <w:rPr>
          <w:rFonts w:ascii="Arial" w:eastAsia="Times New Roman" w:hAnsi="Arial" w:cs="Arial"/>
          <w:b/>
          <w:bCs/>
        </w:rPr>
        <w:t>Resettlement Action Plan-ni Nanganani aro Karana</w:t>
      </w:r>
    </w:p>
    <w:p w14:paraId="0BF18AD4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“Resettlement Action Plan (RAP) rangko Songsak–Mendipathar Road-ko bilsi ong·atna aro re·atgipa kamrang dakon, existing Right of Way (RoW) ning·o ong·gipa social impact-rangko silrata aro samja·na dakgipa ong·a. Ia project Sixth Schedule area-o ong·a, jekon customary land tenure system-rangni dakgipa niyom-rang jachakgipa ong·a. A·songni affected household-rang Scheduled Tribe community-o ong·gipa ong·a, uni gimin RAP World Bank ESF (ESS5 aro ESS7), national aro state-ni niyom-rang baksa melgipa ong·a, aro indigenous man·dimangni a·kita aro janggini kamrangko rakkia-na Free, Prior, and Informed Consent (FPIC) ko dakchaka.”</w:t>
      </w:r>
    </w:p>
    <w:p w14:paraId="4C6796F8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3. </w:t>
      </w:r>
      <w:r w:rsidR="00CE6B2E" w:rsidRPr="00CE6B2E">
        <w:rPr>
          <w:rFonts w:ascii="Arial" w:eastAsia="Times New Roman" w:hAnsi="Arial" w:cs="Arial"/>
          <w:b/>
          <w:bCs/>
        </w:rPr>
        <w:t>Project-ni Impact-rang aro Affected Man·dimang</w:t>
      </w:r>
    </w:p>
    <w:p w14:paraId="3D178B86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“Ia project-ni impact-rang simit ong·a aro existing 12-meter Right of Way (RoW) ning·o mangmang ong·a; additional land acquisition dakna nangja. Impact-rangni ning·o 40 Project-Affected Households (PAHs)-rangko partial ong·gipa impact dong·a, jekai temporary aro semi-pucca commercial structure, dokan, fencing aro chonchik janggini kam-rangko ong·gipa osokko dakgipa ong·a. Corridor of Impact (CoI) ning·o 100 percent census survey dakgipa ja·mano 137 Project-Affected Persons (PAPs)-rangko chagronggipa ong·a. A·songni affected man·dimang pilak Garo Scheduled Tribe community-o ong·gipa ong·a.”</w:t>
      </w:r>
    </w:p>
    <w:p w14:paraId="4B506EF1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4. </w:t>
      </w:r>
      <w:r w:rsidR="00CE6B2E" w:rsidRPr="00CE6B2E">
        <w:rPr>
          <w:rFonts w:ascii="Arial" w:eastAsia="Times New Roman" w:hAnsi="Arial" w:cs="Arial"/>
          <w:b/>
          <w:bCs/>
        </w:rPr>
        <w:t>“Socio-Economic Profile-ni Talatani</w:t>
      </w:r>
    </w:p>
    <w:p w14:paraId="67BCF687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“Ia project corridor 20 grong aro 25 habitation-rangko re·atgipa ong·a, jeni man·dimang bang·a Scheduled Tribe ong·gipa aro matrilineal social structure-ko ja·rikgipa ong·a. Janggini kamrangni donga ong·a chonchik dokan-dokani kam, a·jal dakani, wage labor aro chonchik business-rang. Socio-economic survey-o vulnerable household-rangko chagronggipa ong·a, jekai me·chikni nokgipa household, ma·grik man·dimang aro below poverty line-o donggipa nokdang-rang. Literacy aro income level-rang settlement settlement-o ong·gipa ong·a, jeni gimin rural socio-economic condition-rangko mesokgipa ong·a.”</w:t>
      </w:r>
    </w:p>
    <w:p w14:paraId="574A9739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5. </w:t>
      </w:r>
      <w:r w:rsidR="00CE6B2E" w:rsidRPr="00CE6B2E">
        <w:rPr>
          <w:rFonts w:ascii="Arial" w:eastAsia="Times New Roman" w:hAnsi="Arial" w:cs="Arial"/>
          <w:b/>
          <w:bCs/>
        </w:rPr>
        <w:t>Consultation, Disclosure aro Free, Prior and Informed Consent (FPIC)</w:t>
      </w:r>
    </w:p>
    <w:p w14:paraId="63983B0C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 xml:space="preserve">“Project preparation-ni somoi-o stakeholder consultation-rangko bang·en dakgipa ong·a. Project planning-ni important stage-rang-o PAPs, Nokma-rang (grongni nokgipa), GHADC official-rang aro community representative-rang baksa FPIC consultation-ni tin-ti round dakgipa ong·a. Consultation-rang local language-rangko jakkalgipa aro cultural niyom-rangko man·gipa tariko ja·rikgipa ong·a, aro project-ni impact-rang, mitigation measure-rang, eligibility aro entitlement-rangni gimin chanchigrikgipa ong·a. Community-ni feedback-rangko </w:t>
      </w:r>
      <w:r w:rsidRPr="004E0221">
        <w:rPr>
          <w:rFonts w:ascii="Arial" w:eastAsia="Times New Roman" w:hAnsi="Arial" w:cs="Arial"/>
        </w:rPr>
        <w:lastRenderedPageBreak/>
        <w:t>project design-o rongtalgipa ong·a, aro RAP disclosure implementation-ni somoi-o ja·rikangna donggipa ong·a.”</w:t>
      </w:r>
    </w:p>
    <w:p w14:paraId="621E374A" w14:textId="77777777" w:rsidR="004E022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6. </w:t>
      </w:r>
      <w:r w:rsidR="004E0221" w:rsidRPr="004E0221">
        <w:rPr>
          <w:rFonts w:ascii="Arial" w:eastAsia="Times New Roman" w:hAnsi="Arial" w:cs="Arial"/>
          <w:b/>
          <w:bCs/>
        </w:rPr>
        <w:t xml:space="preserve">Eligibility aro Entitlement-ni Talatani </w:t>
      </w:r>
    </w:p>
    <w:p w14:paraId="3C3BFC5B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“Eligibility CoI (Corridor of Impact) ning·o ong·gipa titleholder-rang, non-titleholder-rang (encroacher aro squatter), aro vulnerable household-rangko man·chapa. Entitlement-rang MPWD Entitlement Matrix-ni ning·o dakgipa ong·a, jekon RFCTLARR Act, 2013 aro World Bank ESF baksa melgipa ong·a. Affected structure-rangna compensation full replacement cost-o on·gipa ong·a, aro resettlement assistance, livelihood restoration support aro Grievance Redress Mechanism (GRM)-o re·atna man·gipa dakchakani baksa man·dimangni janggini ong·senggipa gita dong·ta ba silrata ong·atna dakgipa ong·a.”</w:t>
      </w:r>
    </w:p>
    <w:p w14:paraId="644D0D2B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7. </w:t>
      </w:r>
      <w:r w:rsidR="004E0221" w:rsidRPr="004E0221">
        <w:rPr>
          <w:rFonts w:ascii="Arial" w:eastAsia="Times New Roman" w:hAnsi="Arial" w:cs="Arial"/>
          <w:b/>
          <w:bCs/>
        </w:rPr>
        <w:t>Institutional Arrangement-rang aro Grievance Redress</w:t>
      </w:r>
    </w:p>
    <w:p w14:paraId="7AFF09DA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“RAP-ko Meghalaya Public Works Department (PWD) dakgipa ong·a, aro E&amp;S Cell, district administration aro GHADC-ni dakchakani baksa kam ka·gipa ong·a. Complaint-rangko transparent aro somoi-ni ning·o chanchigrikna man·gipa gita two-tier Grievance Redress Mechanism (GRM) ko established dakgipa ong·a, jekon grong level, district level aro state level-o re·atna man·gipa ong·a.”</w:t>
      </w:r>
    </w:p>
    <w:p w14:paraId="2529EB3B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8. </w:t>
      </w:r>
      <w:r w:rsidR="004E0221" w:rsidRPr="004E0221">
        <w:rPr>
          <w:rFonts w:ascii="Arial" w:eastAsia="Times New Roman" w:hAnsi="Arial" w:cs="Arial"/>
          <w:b/>
          <w:bCs/>
        </w:rPr>
        <w:t>Implementation-ni Somoi Talatani aro Budget</w:t>
      </w:r>
    </w:p>
    <w:p w14:paraId="5431F3CD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“RAP-ko phased manner-o dakgipa ong·a, aro civil works baksa somoi melgipa gita ka·gipa ong·a. Affected section-rang-o construction kam a·bachengna skang compensation aro assistance pilak on·chonggipa ong·a.</w:t>
      </w:r>
      <w:r w:rsidRPr="004E0221">
        <w:rPr>
          <w:rFonts w:ascii="Arial" w:eastAsia="Times New Roman" w:hAnsi="Arial" w:cs="Arial"/>
        </w:rPr>
        <w:br/>
        <w:t>Resettlement aro Rehabilitation (R&amp;R) ni total budget-ko estimate dakgipa ong·a, aro u·o structure-rangni compensation, resettlement assistance, livelihood restoration, administrative cost, monitoring aro contingency-rang pilak baksa ong·a.”</w:t>
      </w:r>
    </w:p>
    <w:p w14:paraId="1B62D03F" w14:textId="77777777" w:rsidR="00C10B71" w:rsidRPr="00C10B71" w:rsidRDefault="00C10B7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C10B71">
        <w:rPr>
          <w:rFonts w:ascii="Arial" w:eastAsia="Times New Roman" w:hAnsi="Arial" w:cs="Arial"/>
          <w:b/>
          <w:bCs/>
        </w:rPr>
        <w:t xml:space="preserve">9. </w:t>
      </w:r>
      <w:r w:rsidR="004E0221" w:rsidRPr="004E0221">
        <w:rPr>
          <w:rFonts w:ascii="Arial" w:eastAsia="Times New Roman" w:hAnsi="Arial" w:cs="Arial"/>
          <w:b/>
          <w:bCs/>
        </w:rPr>
        <w:t>Monitoring aro Evaluation-ni Dakgipa Kamrang</w:t>
      </w:r>
    </w:p>
    <w:p w14:paraId="38DBD362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t>“RAP-ni ka·gipa kamrangko thik ong·e dakna internal aro external monitoring mechanism-rangko jakkalgipa ong·a. Monitoring indicator-rang physical progress, financial disbursement, grievance redress aro livelihood restoration-ni result-rangko man·chapa. Impact evaluation-o affected household-rang janggini dong·ani gita dakbaria ba silrata ong·atna man·gipa ong·ama ong·ja uko chanchigrikgipa ong·a.”</w:t>
      </w:r>
    </w:p>
    <w:p w14:paraId="64492FEA" w14:textId="77777777" w:rsidR="006D06EB" w:rsidRPr="00C10B71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10</w:t>
      </w:r>
      <w:r w:rsidRPr="00C10B71">
        <w:rPr>
          <w:rFonts w:ascii="Arial" w:eastAsia="Times New Roman" w:hAnsi="Arial" w:cs="Arial"/>
          <w:b/>
          <w:bCs/>
        </w:rPr>
        <w:t>.</w:t>
      </w:r>
      <w:r w:rsidR="004E0221" w:rsidRPr="004E0221">
        <w:t xml:space="preserve"> </w:t>
      </w:r>
      <w:r w:rsidR="004E0221" w:rsidRPr="004E0221">
        <w:rPr>
          <w:rFonts w:ascii="Arial" w:eastAsia="Times New Roman" w:hAnsi="Arial" w:cs="Arial"/>
          <w:b/>
          <w:bCs/>
        </w:rPr>
        <w:t>Grievance Solani Dakgipa Mechanism</w:t>
      </w:r>
    </w:p>
    <w:p w14:paraId="66C011A0" w14:textId="77777777" w:rsidR="006D06EB" w:rsidRPr="00BB417B" w:rsidRDefault="004E0221" w:rsidP="00323F4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hAnsi="Arial" w:cs="Arial"/>
          <w:lang w:bidi="te-IN"/>
        </w:rPr>
      </w:pPr>
      <w:r w:rsidRPr="004E0221">
        <w:rPr>
          <w:rFonts w:ascii="Arial" w:hAnsi="Arial" w:cs="Arial"/>
          <w:lang w:bidi="te-IN"/>
        </w:rPr>
        <w:t>“Ia flowchart-o two-tier grievance redressal mechanism-ko mesokgipa ong·a, jekon complaint-rangko chanchigrikna jachakgipa responsibility-rang aro resolution-na somoi-rangko talatgipa ong·a.”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72"/>
        <w:gridCol w:w="5684"/>
      </w:tblGrid>
      <w:tr w:rsidR="006D06EB" w:rsidRPr="00BB417B" w14:paraId="22CC6E72" w14:textId="77777777" w:rsidTr="00D077FC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D5C" w14:textId="77777777" w:rsidR="006D06EB" w:rsidRPr="00BB417B" w:rsidRDefault="006D06EB" w:rsidP="00323F4C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t>Tier I: Project Site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464" w14:textId="77777777" w:rsidR="006D06EB" w:rsidRPr="00BB417B" w:rsidRDefault="006D06EB" w:rsidP="00323F4C">
            <w:pPr>
              <w:keepNext/>
              <w:widowControl/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pacing w:before="100" w:beforeAutospacing="1" w:after="100" w:afterAutospacing="1"/>
              <w:jc w:val="both"/>
              <w:textAlignment w:val="center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lang w:bidi="te-IN"/>
              </w:rPr>
              <w:t>Responsibility: VECs &amp; Headman</w:t>
            </w:r>
            <w:r w:rsidRPr="00BB417B">
              <w:rPr>
                <w:rFonts w:ascii="Arial" w:hAnsi="Arial" w:cs="Arial"/>
                <w:lang w:bidi="te-IN"/>
              </w:rPr>
              <w:br/>
              <w:t>Timeline: Resolution within 15 days</w:t>
            </w:r>
            <w:r w:rsidRPr="00BB417B">
              <w:rPr>
                <w:rFonts w:ascii="Arial" w:hAnsi="Arial" w:cs="Arial"/>
                <w:lang w:bidi="te-IN"/>
              </w:rPr>
              <w:br/>
              <w:t>If unresolved → Escalate to PMU (Tier II)</w:t>
            </w:r>
          </w:p>
        </w:tc>
      </w:tr>
      <w:tr w:rsidR="006D06EB" w:rsidRPr="00BB417B" w14:paraId="71429B6A" w14:textId="77777777" w:rsidTr="00D077FC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D525" w14:textId="77777777" w:rsidR="006D06EB" w:rsidRPr="00BB417B" w:rsidRDefault="006D06EB" w:rsidP="00323F4C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t>Tier II: State Level (PMU)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C17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hAnsi="Arial" w:cs="Arial"/>
                <w:lang w:val="en-GB" w:bidi="te-IN"/>
              </w:rPr>
            </w:pPr>
            <w:r w:rsidRPr="00BB417B">
              <w:rPr>
                <w:rFonts w:ascii="Arial" w:hAnsi="Arial" w:cs="Arial"/>
                <w:lang w:bidi="te-IN"/>
              </w:rPr>
              <w:t>Responsibility: Secretary Planning, Chief Engineer,</w:t>
            </w:r>
            <w:r w:rsidRPr="00BB417B">
              <w:rPr>
                <w:rFonts w:ascii="Arial" w:hAnsi="Arial" w:cs="Arial"/>
                <w:lang w:bidi="te-IN"/>
              </w:rPr>
              <w:br/>
              <w:t>Project Director, Social Expert</w:t>
            </w:r>
            <w:r w:rsidRPr="00BB417B">
              <w:rPr>
                <w:rFonts w:ascii="Arial" w:hAnsi="Arial" w:cs="Arial"/>
                <w:lang w:bidi="te-IN"/>
              </w:rPr>
              <w:br/>
            </w:r>
            <w:r w:rsidRPr="00BB417B">
              <w:rPr>
                <w:rFonts w:ascii="Arial" w:hAnsi="Arial" w:cs="Arial"/>
                <w:lang w:bidi="te-IN"/>
              </w:rPr>
              <w:lastRenderedPageBreak/>
              <w:t>Timeline: Resolution within 15 days</w:t>
            </w:r>
          </w:p>
        </w:tc>
      </w:tr>
    </w:tbl>
    <w:p w14:paraId="23512247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7A9CBF80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6A6B9D2A" w14:textId="77777777" w:rsidR="006D06EB" w:rsidRPr="00BB417B" w:rsidRDefault="004E0221" w:rsidP="007238CA">
      <w:pPr>
        <w:keepNext/>
        <w:widowControl/>
        <w:jc w:val="center"/>
        <w:rPr>
          <w:rFonts w:ascii="Arial" w:hAnsi="Arial" w:cs="Arial"/>
        </w:rPr>
      </w:pPr>
      <w:r w:rsidRPr="004E0221">
        <w:rPr>
          <w:rFonts w:ascii="Arial" w:hAnsi="Arial" w:cs="Arial"/>
          <w:b/>
          <w:lang w:bidi="te-IN"/>
        </w:rPr>
        <w:t>Grievance Solani Dakgipa Mechanism</w:t>
      </w:r>
      <w:r w:rsidR="006D06EB" w:rsidRPr="006D06EB">
        <w:rPr>
          <w:rFonts w:ascii="Arial" w:hAnsi="Arial" w:cs="Arial"/>
          <w:noProof/>
          <w:u w:val="single"/>
          <w:lang w:val="en-IN" w:eastAsia="en-IN"/>
        </w:rPr>
        <w:drawing>
          <wp:inline distT="0" distB="0" distL="0" distR="0" wp14:anchorId="0095892D" wp14:editId="03BC363A">
            <wp:extent cx="5000625" cy="3642550"/>
            <wp:effectExtent l="19050" t="19050" r="9525" b="15240"/>
            <wp:docPr id="151996300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893" cy="36405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794447" w14:textId="77777777" w:rsidR="006D06EB" w:rsidRDefault="006D06E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703D2079" w14:textId="77777777" w:rsidR="006D06EB" w:rsidRPr="00BB417B" w:rsidRDefault="004E0221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lang w:bidi="te-IN"/>
        </w:rPr>
      </w:pPr>
      <w:r w:rsidRPr="004E0221"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  <w:t>Grievance-rangni Contact-ni Talatani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6"/>
        <w:gridCol w:w="5556"/>
      </w:tblGrid>
      <w:tr w:rsidR="006D06EB" w:rsidRPr="00BB417B" w14:paraId="636AE546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3A323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b/>
                <w:bCs/>
                <w:color w:val="000000"/>
                <w:sz w:val="20"/>
                <w:lang w:eastAsia="zh-CN"/>
              </w:rPr>
              <w:t>Description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6662F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b/>
                <w:bCs/>
                <w:color w:val="000000"/>
                <w:sz w:val="20"/>
                <w:lang w:eastAsia="zh-CN"/>
              </w:rPr>
              <w:t>Contact details</w:t>
            </w:r>
          </w:p>
        </w:tc>
      </w:tr>
      <w:tr w:rsidR="006D06EB" w:rsidRPr="00BB417B" w14:paraId="2BA7C545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AA438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Company: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AC080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PWD, Meghalaya</w:t>
            </w:r>
          </w:p>
        </w:tc>
      </w:tr>
      <w:tr w:rsidR="006D06EB" w:rsidRPr="00BB417B" w14:paraId="717444FC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7A894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To: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B1EA9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Chief Engineer-cum-Nodal officer</w:t>
            </w:r>
          </w:p>
        </w:tc>
      </w:tr>
      <w:tr w:rsidR="006D06EB" w:rsidRPr="00BB417B" w14:paraId="6325CC2B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760AD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Address: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47A55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HV9P+GFJ, Lachumiere, Shillong, Meghalaya 793001</w:t>
            </w:r>
          </w:p>
        </w:tc>
      </w:tr>
      <w:tr w:rsidR="006D06EB" w:rsidRPr="00BB417B" w14:paraId="6ACF29F0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67DCA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E-mail: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48500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hyperlink r:id="rId15" w:history="1">
              <w:r w:rsidRPr="00190197">
                <w:rPr>
                  <w:rFonts w:ascii="Arial" w:eastAsia="sans-serif" w:hAnsi="Arial" w:cs="Arial"/>
                  <w:color w:val="0000FF"/>
                  <w:sz w:val="20"/>
                  <w:u w:val="single"/>
                  <w:lang w:bidi="te-IN"/>
                </w:rPr>
                <w:t>esmlcip@gmail.com</w:t>
              </w:r>
            </w:hyperlink>
          </w:p>
        </w:tc>
      </w:tr>
      <w:tr w:rsidR="006D06EB" w:rsidRPr="00BB417B" w14:paraId="0158071D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88CD55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Website: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9F425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hyperlink r:id="rId16" w:tgtFrame="https://f6email.rediff.com/ajaxprism/_blank" w:history="1">
              <w:r w:rsidRPr="00190197">
                <w:rPr>
                  <w:rFonts w:ascii="Arial" w:eastAsia="sans-serif" w:hAnsi="Arial" w:cs="Arial"/>
                  <w:color w:val="0070C0"/>
                  <w:sz w:val="20"/>
                  <w:u w:val="single"/>
                  <w:lang w:bidi="te-IN"/>
                </w:rPr>
                <w:t>http://megpwd.gov.in/contacts.html</w:t>
              </w:r>
            </w:hyperlink>
          </w:p>
        </w:tc>
      </w:tr>
      <w:tr w:rsidR="006D06EB" w:rsidRPr="00BB417B" w14:paraId="4AD89FA1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8495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Telephone: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BFF94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Tel: 0364-3572466</w:t>
            </w:r>
          </w:p>
        </w:tc>
      </w:tr>
      <w:tr w:rsidR="006D06EB" w:rsidRPr="00BB417B" w14:paraId="0769F7F2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70B0F6" w14:textId="77777777" w:rsidR="006D06EB" w:rsidRPr="00190197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Fax: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1C687" w14:textId="77777777" w:rsidR="006D06EB" w:rsidRPr="00190197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sz w:val="20"/>
                <w:lang w:bidi="te-IN"/>
              </w:rPr>
            </w:pPr>
            <w:r w:rsidRPr="00190197">
              <w:rPr>
                <w:rFonts w:ascii="Arial" w:eastAsia="sans-serif" w:hAnsi="Arial" w:cs="Arial"/>
                <w:color w:val="000000"/>
                <w:sz w:val="20"/>
                <w:lang w:eastAsia="zh-CN"/>
              </w:rPr>
              <w:t>-</w:t>
            </w:r>
          </w:p>
        </w:tc>
      </w:tr>
    </w:tbl>
    <w:p w14:paraId="0759BCA9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</w:p>
    <w:p w14:paraId="18A74649" w14:textId="77777777" w:rsidR="004E0221" w:rsidRDefault="004E0221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</w:p>
    <w:p w14:paraId="64401C69" w14:textId="77777777" w:rsidR="00C10B71" w:rsidRPr="00C10B71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11</w:t>
      </w:r>
      <w:r w:rsidR="00C10B71" w:rsidRPr="00C10B71">
        <w:rPr>
          <w:rFonts w:ascii="Arial" w:eastAsia="Times New Roman" w:hAnsi="Arial" w:cs="Arial"/>
          <w:b/>
          <w:bCs/>
        </w:rPr>
        <w:t xml:space="preserve">. </w:t>
      </w:r>
      <w:r w:rsidR="004E0221" w:rsidRPr="004E0221">
        <w:rPr>
          <w:rFonts w:ascii="Arial" w:eastAsia="Times New Roman" w:hAnsi="Arial" w:cs="Arial"/>
          <w:b/>
          <w:bCs/>
        </w:rPr>
        <w:t>Bon·chotani</w:t>
      </w:r>
    </w:p>
    <w:p w14:paraId="0A8EC356" w14:textId="77777777" w:rsidR="001B0CD1" w:rsidRPr="00190197" w:rsidRDefault="004E0221" w:rsidP="004E0221">
      <w:pPr>
        <w:keepNext/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4E0221">
        <w:rPr>
          <w:rFonts w:ascii="Arial" w:eastAsia="Times New Roman" w:hAnsi="Arial" w:cs="Arial"/>
        </w:rPr>
        <w:lastRenderedPageBreak/>
        <w:t>“Songsak–Mendipathar Road (SMR) Road-ni RAP project-ni inclusive development-ko dakchakani, tribal man·dimangni a·kita-ko rakkiani aro social sustainability-ko mesokgipa ong·a. Resettlement impact chonchik ong·ani, community baksa namgipa engagement aro thik ong·gipa mitigation measure-rangni gimin, ia project-o socio-economic benefit bang·en ong·gipa ong·na chanchigipa ong·a, aro affected man·dimangko saman aro nyay ong·e chanchigrikgipa ong·na dakchakgipa ong·a.”</w:t>
      </w:r>
    </w:p>
    <w:sectPr w:rsidR="001B0CD1" w:rsidRPr="00190197" w:rsidSect="006D06EB">
      <w:headerReference w:type="default" r:id="rId17"/>
      <w:footerReference w:type="default" r:id="rId18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84E3" w14:textId="77777777" w:rsidR="00E667A2" w:rsidRDefault="00E667A2" w:rsidP="00C10B71">
      <w:r>
        <w:separator/>
      </w:r>
    </w:p>
  </w:endnote>
  <w:endnote w:type="continuationSeparator" w:id="0">
    <w:p w14:paraId="47563F13" w14:textId="77777777" w:rsidR="00E667A2" w:rsidRDefault="00E667A2" w:rsidP="00C1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1C2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DB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320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360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1F8C5" w14:textId="77777777" w:rsidR="006D06EB" w:rsidRDefault="006D0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B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31747C" w14:textId="77777777" w:rsidR="00C10B71" w:rsidRDefault="00C10B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E7E2" w14:textId="77777777" w:rsidR="00E667A2" w:rsidRDefault="00E667A2" w:rsidP="00C10B71">
      <w:r>
        <w:separator/>
      </w:r>
    </w:p>
  </w:footnote>
  <w:footnote w:type="continuationSeparator" w:id="0">
    <w:p w14:paraId="15AAE632" w14:textId="77777777" w:rsidR="00E667A2" w:rsidRDefault="00E667A2" w:rsidP="00C1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6CE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EC9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1E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9594" w:themeFill="accent2" w:themeFillTint="99"/>
      <w:tblLook w:val="04A0" w:firstRow="1" w:lastRow="0" w:firstColumn="1" w:lastColumn="0" w:noHBand="0" w:noVBand="1"/>
    </w:tblPr>
    <w:tblGrid>
      <w:gridCol w:w="9448"/>
    </w:tblGrid>
    <w:tr w:rsidR="006D06EB" w:rsidRPr="00CD7B03" w14:paraId="33D0FDBE" w14:textId="77777777" w:rsidTr="00D077FC">
      <w:tc>
        <w:tcPr>
          <w:tcW w:w="5000" w:type="pct"/>
          <w:shd w:val="clear" w:color="auto" w:fill="D99594" w:themeFill="accent2" w:themeFillTint="99"/>
        </w:tcPr>
        <w:p w14:paraId="7FA2D700" w14:textId="77777777" w:rsidR="004E0221" w:rsidRDefault="004E0221" w:rsidP="004E0221">
          <w:pPr>
            <w:jc w:val="center"/>
            <w:textDirection w:val="btLr"/>
            <w:rPr>
              <w:i/>
              <w:color w:val="000000" w:themeColor="text1"/>
            </w:rPr>
          </w:pPr>
          <w:r w:rsidRPr="004E0221">
            <w:rPr>
              <w:i/>
              <w:color w:val="000000" w:themeColor="text1"/>
            </w:rPr>
            <w:t>“World Bank-ni dakgipa Meghalaya Logistics and Connectivity Improvement Project (MLCIP) rangko dakgipa Songsak–Mendipathar Road (SMR) rangko bilsi ong·atna aro neng·gipa CD Works aro bridge-rangko re-construction dakna kamko dakgipa ong·a.”</w:t>
          </w:r>
        </w:p>
        <w:p w14:paraId="251F10B7" w14:textId="77777777" w:rsidR="006D06EB" w:rsidRPr="00CD7B03" w:rsidRDefault="00E46EF4" w:rsidP="00D077FC">
          <w:pPr>
            <w:jc w:val="right"/>
            <w:textDirection w:val="btLr"/>
            <w:rPr>
              <w:b/>
              <w:i/>
              <w:color w:val="000000" w:themeColor="text1"/>
            </w:rPr>
          </w:pPr>
          <w:r>
            <w:rPr>
              <w:b/>
              <w:i/>
              <w:color w:val="000000" w:themeColor="text1"/>
            </w:rPr>
            <w:t xml:space="preserve">Executive Summary Of </w:t>
          </w:r>
          <w:r w:rsidR="006D06EB" w:rsidRPr="00080E80">
            <w:rPr>
              <w:b/>
              <w:i/>
              <w:color w:val="000000" w:themeColor="text1"/>
            </w:rPr>
            <w:t>Resettlement Action Plan</w:t>
          </w:r>
        </w:p>
      </w:tc>
    </w:tr>
  </w:tbl>
  <w:p w14:paraId="73A343E1" w14:textId="77777777" w:rsidR="006D06EB" w:rsidRDefault="006D06EB" w:rsidP="006D06EB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CD4"/>
    <w:multiLevelType w:val="multilevel"/>
    <w:tmpl w:val="6C2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3D66"/>
    <w:multiLevelType w:val="multilevel"/>
    <w:tmpl w:val="6E74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97710"/>
    <w:multiLevelType w:val="multilevel"/>
    <w:tmpl w:val="F74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44995"/>
    <w:multiLevelType w:val="multilevel"/>
    <w:tmpl w:val="498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B0A8E"/>
    <w:multiLevelType w:val="multilevel"/>
    <w:tmpl w:val="3BB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707250">
    <w:abstractNumId w:val="0"/>
  </w:num>
  <w:num w:numId="2" w16cid:durableId="344863822">
    <w:abstractNumId w:val="2"/>
  </w:num>
  <w:num w:numId="3" w16cid:durableId="1290280106">
    <w:abstractNumId w:val="1"/>
  </w:num>
  <w:num w:numId="4" w16cid:durableId="1737969142">
    <w:abstractNumId w:val="3"/>
  </w:num>
  <w:num w:numId="5" w16cid:durableId="136513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AB"/>
    <w:rsid w:val="0014726A"/>
    <w:rsid w:val="00190197"/>
    <w:rsid w:val="001B0CD1"/>
    <w:rsid w:val="00323F4C"/>
    <w:rsid w:val="004E0221"/>
    <w:rsid w:val="005D4777"/>
    <w:rsid w:val="006D06EB"/>
    <w:rsid w:val="007238CA"/>
    <w:rsid w:val="008A7EAB"/>
    <w:rsid w:val="00A258C0"/>
    <w:rsid w:val="00A353B8"/>
    <w:rsid w:val="00C10B71"/>
    <w:rsid w:val="00CE6B2E"/>
    <w:rsid w:val="00E46EF4"/>
    <w:rsid w:val="00E667A2"/>
    <w:rsid w:val="00EF7D61"/>
    <w:rsid w:val="00F22380"/>
    <w:rsid w:val="00F251BC"/>
    <w:rsid w:val="00FC2F54"/>
    <w:rsid w:val="00FC5553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D337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0B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10B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0B71"/>
  </w:style>
  <w:style w:type="character" w:customStyle="1" w:styleId="BodyTextChar">
    <w:name w:val="Body Text Char"/>
    <w:basedOn w:val="DefaultParagraphFont"/>
    <w:link w:val="BodyText"/>
    <w:uiPriority w:val="1"/>
    <w:rsid w:val="00C10B71"/>
    <w:rPr>
      <w:rFonts w:ascii="Calibri" w:eastAsia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71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71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71"/>
    <w:rPr>
      <w:rFonts w:ascii="Calibri" w:eastAsia="Calibri" w:hAnsi="Calibri" w:cs="Calibr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10B7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10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megpwd.gov.in/contact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mitpshillong@gmail.com</cp:lastModifiedBy>
  <cp:revision>2</cp:revision>
  <dcterms:created xsi:type="dcterms:W3CDTF">2026-01-10T14:28:00Z</dcterms:created>
  <dcterms:modified xsi:type="dcterms:W3CDTF">2026-01-10T14:28:00Z</dcterms:modified>
</cp:coreProperties>
</file>